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1D" w:rsidRPr="00D86A1D" w:rsidRDefault="00D86A1D" w:rsidP="00C62CF1">
      <w:pPr>
        <w:jc w:val="center"/>
        <w:rPr>
          <w:rFonts w:ascii="Chaparral Pro Light" w:hAnsi="Chaparral Pro Light"/>
          <w:b/>
          <w:sz w:val="52"/>
        </w:rPr>
      </w:pPr>
      <w:r w:rsidRPr="00D86A1D">
        <w:rPr>
          <w:rFonts w:ascii="Chaparral Pro Light" w:hAnsi="Chaparral Pro Light"/>
          <w:b/>
          <w:sz w:val="52"/>
        </w:rPr>
        <w:t>Medical Terminology Word List</w:t>
      </w:r>
      <w:r w:rsidR="00F760F9" w:rsidRPr="00D86A1D">
        <w:rPr>
          <w:rFonts w:ascii="Chaparral Pro Light" w:hAnsi="Chaparral Pro Light"/>
          <w:b/>
          <w:sz w:val="52"/>
        </w:rPr>
        <w:t xml:space="preserve"> </w:t>
      </w:r>
    </w:p>
    <w:p w:rsidR="00D86A1D" w:rsidRPr="00D86A1D" w:rsidRDefault="00D86A1D" w:rsidP="00C62CF1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sectPr w:rsidR="00D86A1D" w:rsidRPr="00D86A1D" w:rsidSect="00C62C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86A1D">
        <w:rPr>
          <w:rFonts w:ascii="Times New Roman" w:hAnsi="Times New Roman" w:cs="Times New Roman"/>
          <w:b/>
          <w:sz w:val="32"/>
          <w:szCs w:val="32"/>
        </w:rPr>
        <w:t>Roots: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2916"/>
        <w:gridCol w:w="2340"/>
      </w:tblGrid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Abdomin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/o: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Abdomen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Aden/o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Gland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Audi/o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Hearing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Life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Brachi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Arm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Bronch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</w:t>
            </w: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i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bronch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Bronchus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Carcin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Cancer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Cardi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Heart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Cephal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Head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Col/o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Colon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Cyt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Cell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Dent/</w:t>
            </w: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i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, dent/o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Teeth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Derm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/a, </w:t>
            </w: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derm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/o, </w:t>
            </w: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dermat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/o: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Skin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Encephal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Brain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Gastr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Stomach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Gynec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Female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Hemat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Blood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Hist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/o, </w:t>
            </w: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histi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Tissue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Intestin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Intestine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Lapar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Abdomen, loin or flank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Lymph/o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Lymph vessels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Mamm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/a, </w:t>
            </w: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mamm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Mammary gland</w:t>
            </w:r>
          </w:p>
        </w:tc>
        <w:bookmarkStart w:id="0" w:name="_GoBack"/>
        <w:bookmarkEnd w:id="0"/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Nas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Nose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Ophthalm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Eye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Ot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Ear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Steth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Chest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Thorac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Thorax</w:t>
            </w:r>
          </w:p>
        </w:tc>
      </w:tr>
      <w:tr w:rsidR="00C62CF1" w:rsidRPr="00D86A1D" w:rsidTr="00D86A1D">
        <w:trPr>
          <w:trHeight w:val="432"/>
        </w:trPr>
        <w:tc>
          <w:tcPr>
            <w:tcW w:w="2774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Trache</w:t>
            </w:r>
            <w:proofErr w:type="spellEnd"/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/o</w:t>
            </w:r>
          </w:p>
        </w:tc>
        <w:tc>
          <w:tcPr>
            <w:tcW w:w="2226" w:type="pct"/>
            <w:vAlign w:val="center"/>
            <w:hideMark/>
          </w:tcPr>
          <w:p w:rsidR="00C62CF1" w:rsidRPr="00D86A1D" w:rsidRDefault="00C62CF1" w:rsidP="00D86A1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Trachea</w:t>
            </w:r>
          </w:p>
        </w:tc>
      </w:tr>
    </w:tbl>
    <w:p w:rsidR="00D86A1D" w:rsidRDefault="00D86A1D" w:rsidP="00C62CF1">
      <w:pPr>
        <w:jc w:val="center"/>
        <w:rPr>
          <w:rFonts w:ascii="Times New Roman" w:hAnsi="Times New Roman" w:cs="Times New Roman"/>
          <w:sz w:val="24"/>
          <w:szCs w:val="24"/>
        </w:rPr>
        <w:sectPr w:rsidR="00D86A1D" w:rsidSect="00D86A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2CF1" w:rsidRPr="00D86A1D" w:rsidRDefault="00C62CF1" w:rsidP="00D86A1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600" w:type="dxa"/>
        <w:tblLook w:val="0600" w:firstRow="0" w:lastRow="0" w:firstColumn="0" w:lastColumn="0" w:noHBand="1" w:noVBand="1"/>
      </w:tblPr>
      <w:tblGrid>
        <w:gridCol w:w="2605"/>
        <w:gridCol w:w="6995"/>
      </w:tblGrid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D8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A1D">
              <w:rPr>
                <w:rFonts w:ascii="Times New Roman" w:hAnsi="Times New Roman" w:cs="Times New Roman"/>
                <w:b/>
                <w:sz w:val="28"/>
              </w:rPr>
              <w:t>Prefix</w:t>
            </w:r>
          </w:p>
        </w:tc>
        <w:tc>
          <w:tcPr>
            <w:tcW w:w="6980" w:type="dxa"/>
            <w:hideMark/>
          </w:tcPr>
          <w:p w:rsidR="00C62CF1" w:rsidRPr="00D86A1D" w:rsidRDefault="00C62CF1" w:rsidP="00D86A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A1D">
              <w:rPr>
                <w:rFonts w:ascii="Times New Roman" w:hAnsi="Times New Roman" w:cs="Times New Roman"/>
                <w:b/>
                <w:sz w:val="28"/>
              </w:rPr>
              <w:t>Definition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Epi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Upper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Extra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Outside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Hyper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Above, increased, or more than normal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Hypo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Below, under, or decreased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Infra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Below or beneath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Inter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Between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Intra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Within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Meta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Beyond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Per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Throughout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Sub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Below, under, or decreased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Super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Above, increased, or more than normal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Supra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Above, increased, or more than normal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Trans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Across</w:t>
            </w:r>
          </w:p>
        </w:tc>
      </w:tr>
      <w:tr w:rsidR="00C62CF1" w:rsidRPr="00D86A1D" w:rsidTr="00D86A1D">
        <w:trPr>
          <w:trHeight w:val="288"/>
        </w:trPr>
        <w:tc>
          <w:tcPr>
            <w:tcW w:w="260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</w:rPr>
              <w:t>Ultra</w:t>
            </w:r>
          </w:p>
        </w:tc>
        <w:tc>
          <w:tcPr>
            <w:tcW w:w="6980" w:type="dxa"/>
            <w:hideMark/>
          </w:tcPr>
          <w:p w:rsidR="00C62CF1" w:rsidRPr="00D86A1D" w:rsidRDefault="00C62CF1" w:rsidP="00C62CF1">
            <w:pPr>
              <w:kinsoku w:val="0"/>
              <w:overflowPunct w:val="0"/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6A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>Above, increased, or more than normal</w:t>
            </w:r>
          </w:p>
        </w:tc>
      </w:tr>
    </w:tbl>
    <w:p w:rsidR="00C62CF1" w:rsidRDefault="00C62CF1" w:rsidP="00C62CF1">
      <w:pPr>
        <w:jc w:val="center"/>
        <w:rPr>
          <w:rFonts w:ascii="Bernard MT Condensed" w:hAnsi="Bernard MT Condensed"/>
          <w:sz w:val="52"/>
        </w:rPr>
        <w:sectPr w:rsidR="00C62CF1" w:rsidSect="00D86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2713"/>
        <w:gridCol w:w="4455"/>
        <w:gridCol w:w="7448"/>
      </w:tblGrid>
      <w:tr w:rsidR="00D86A1D" w:rsidRPr="00C62CF1" w:rsidTr="00D86A1D">
        <w:trPr>
          <w:trHeight w:val="144"/>
        </w:trPr>
        <w:tc>
          <w:tcPr>
            <w:tcW w:w="928" w:type="pct"/>
          </w:tcPr>
          <w:p w:rsidR="00D86A1D" w:rsidRPr="00D86A1D" w:rsidRDefault="00D86A1D" w:rsidP="00D86A1D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4"/>
              </w:rPr>
              <w:lastRenderedPageBreak/>
              <w:t>Suffix</w:t>
            </w:r>
          </w:p>
        </w:tc>
        <w:tc>
          <w:tcPr>
            <w:tcW w:w="1524" w:type="pct"/>
          </w:tcPr>
          <w:p w:rsidR="00D86A1D" w:rsidRPr="00D86A1D" w:rsidRDefault="00D86A1D" w:rsidP="00D86A1D">
            <w:pPr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4"/>
              </w:rPr>
              <w:t>Definition</w:t>
            </w:r>
          </w:p>
        </w:tc>
        <w:tc>
          <w:tcPr>
            <w:tcW w:w="2548" w:type="pct"/>
          </w:tcPr>
          <w:p w:rsidR="00D86A1D" w:rsidRPr="00D86A1D" w:rsidRDefault="00D86A1D" w:rsidP="00D86A1D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4"/>
              </w:rPr>
            </w:pPr>
            <w:r w:rsidRPr="00D86A1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4"/>
              </w:rPr>
              <w:t>Example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cyte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Cell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Erythrocyte: red blood cell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ectomy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 surgically remove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Lobectomy: to surgically remove a lobe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pnea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Breathing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Tachypnea: abnormally fast breathing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-itis</w:t>
            </w:r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Inflammation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Arthritis: inflammation of the joints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-logy</w:t>
            </w:r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Study of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Biology: the study of life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oma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Tumor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Carcinoma: cancerous tumor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penia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Deficiency of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Leukopenia: deficiency of white blood cells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-scope</w:t>
            </w:r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Instrument for examining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Microscope: instrument for examining minute objects</w:t>
            </w:r>
          </w:p>
        </w:tc>
      </w:tr>
      <w:tr w:rsidR="00C62CF1" w:rsidRPr="00C62CF1" w:rsidTr="00D86A1D">
        <w:trPr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tomy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Cutting, incision</w:t>
            </w:r>
          </w:p>
        </w:tc>
        <w:tc>
          <w:tcPr>
            <w:tcW w:w="2548" w:type="pct"/>
            <w:hideMark/>
          </w:tcPr>
          <w:p w:rsidR="00C62CF1" w:rsidRPr="00C62CF1" w:rsidRDefault="00C62CF1" w:rsidP="00C62CF1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Cystotomy</w:t>
            </w:r>
            <w:proofErr w:type="spellEnd"/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: cutting into the urinary bladder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iasis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Infestation or infection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-ism</w:t>
            </w:r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State or condition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graphy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Recording of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One who studies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-lysis</w:t>
            </w:r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Destruction of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megaly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Abnormally large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-natal</w:t>
            </w:r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Birth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osis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Abnormal condition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oxia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Oxygen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phagia</w:t>
            </w:r>
            <w:proofErr w:type="spellEnd"/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Eating, swallowing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-spasm</w:t>
            </w:r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Involuntary contraction</w:t>
            </w:r>
          </w:p>
        </w:tc>
      </w:tr>
      <w:tr w:rsidR="00C62CF1" w:rsidRPr="00C62CF1" w:rsidTr="00D86A1D">
        <w:trPr>
          <w:gridAfter w:val="1"/>
          <w:wAfter w:w="2548" w:type="pct"/>
          <w:trHeight w:val="144"/>
        </w:trPr>
        <w:tc>
          <w:tcPr>
            <w:tcW w:w="928" w:type="pct"/>
            <w:hideMark/>
          </w:tcPr>
          <w:p w:rsidR="00C62CF1" w:rsidRPr="00C62CF1" w:rsidRDefault="00C62CF1" w:rsidP="00C62CF1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-toxin</w:t>
            </w:r>
          </w:p>
        </w:tc>
        <w:tc>
          <w:tcPr>
            <w:tcW w:w="1524" w:type="pct"/>
            <w:hideMark/>
          </w:tcPr>
          <w:p w:rsidR="00C62CF1" w:rsidRPr="00C62CF1" w:rsidRDefault="00C62CF1" w:rsidP="00C62CF1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62C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Poison</w:t>
            </w:r>
          </w:p>
        </w:tc>
      </w:tr>
    </w:tbl>
    <w:p w:rsidR="00C62CF1" w:rsidRPr="00C62CF1" w:rsidRDefault="00C62CF1">
      <w:pPr>
        <w:jc w:val="center"/>
        <w:rPr>
          <w:rFonts w:ascii="Bernard MT Condensed" w:hAnsi="Bernard MT Condensed"/>
          <w:sz w:val="52"/>
        </w:rPr>
      </w:pPr>
    </w:p>
    <w:sectPr w:rsidR="00C62CF1" w:rsidRPr="00C62CF1" w:rsidSect="00C62C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F1"/>
    <w:rsid w:val="00271860"/>
    <w:rsid w:val="00B8408A"/>
    <w:rsid w:val="00C62CF1"/>
    <w:rsid w:val="00D86A1D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2E4D5-B051-4119-ACF3-B274283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F1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D86A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D8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B256-C95C-4339-8EA1-DD02AF44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Pena</cp:lastModifiedBy>
  <cp:revision>6</cp:revision>
  <cp:lastPrinted>2015-08-18T22:37:00Z</cp:lastPrinted>
  <dcterms:created xsi:type="dcterms:W3CDTF">2014-10-20T16:11:00Z</dcterms:created>
  <dcterms:modified xsi:type="dcterms:W3CDTF">2015-08-26T21:24:00Z</dcterms:modified>
</cp:coreProperties>
</file>